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11"/>
    <w:p>
      <w:pPr>
        <w:pStyle w:val="Heading1"/>
      </w:pPr>
      <w:r>
        <w:t xml:space="preserve">Homiletics Analysis: Luke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11 is a composite chapter gathering Jesus’s teaching on prayer, exorcism, the sign of Jonah, the lamp of the body, woes against the Pharisees and lawyers, and warnings about spiritual vacancy. The chapter opens with the disciples’ request for prayer instruction, which Jesus answers with what we call the Lord’s Prayer and two extended analogies (the importunate friend; the good father). The chapter then pivots to a confrontation over Jesus’s exorcisms — is he working by Beelzebul or by the finger of God? — which Jesus answers with a series of logically tight sayings culminating in the parable of the strong man overcome. A brief interlude records a woman’s blessing and Jesus’s counter-blessing. The chapter closes with a cluster of controversies: the sign of Jonah, the lamp and the eye, and an extended table-confrontation with Pharisees and lawyers during which Jesus pronounces six woes. The chapter ends with the scribal establishment plotting against him.</w:t>
      </w:r>
    </w:p>
    <w:p>
      <w:pPr>
        <w:pStyle w:val="BodyText"/>
      </w:pPr>
      <w:r>
        <w:t xml:space="preserve">The chapter’s structural coherence is often underestimated because it is topically varied. But beneath the variety runs a single diagnostic thread:</w:t>
      </w:r>
      <w:r>
        <w:t xml:space="preserve"> </w:t>
      </w:r>
      <w:r>
        <w:rPr>
          <w:b/>
          <w:bCs/>
        </w:rPr>
        <w:t xml:space="preserve">the question of what one is actually oriented toward — and whether that orientation is open to the light of the kingdom Jesus is bringing.</w:t>
      </w:r>
      <w:r>
        <w:t xml:space="preserve"> </w:t>
      </w:r>
      <w:r>
        <w:t xml:space="preserve">Prayer instruction assumes a people oriented toward the Father. The Beelzebul controversy exposes those who observe the kingdom’s power and attribute it to darkness. The sign of Jonah indicts a generation that seeks impressive credentials rather than repentance. The lamp sayings diagnose interior darkness masquerading as light. The woe-series strips the Pharisees and lawyers bare: their religious apparatus has become an obstacle to the very God it claims to serve.</w:t>
      </w:r>
    </w:p>
    <w:p>
      <w:pPr>
        <w:pStyle w:val="BodyText"/>
      </w:pPr>
      <w:r>
        <w:rPr>
          <w:b/>
          <w:bCs/>
        </w:rPr>
        <w:t xml:space="preserve">This Text — Intent</w:t>
      </w:r>
    </w:p>
    <w:p>
      <w:pPr>
        <w:pStyle w:val="BodyText"/>
      </w:pPr>
      <w:r>
        <w:t xml:space="preserve">God is seeking, through this chapter, to produce a searching self-examination in the reader:</w:t>
      </w:r>
      <w:r>
        <w:t xml:space="preserve"> </w:t>
      </w:r>
      <w:r>
        <w:rPr>
          <w:i/>
          <w:iCs/>
        </w:rPr>
        <w:t xml:space="preserve">Am I oriented toward the Father in prayer and dependence, or am I like those who stood before the full light of the kingdom and found reasons to resist it?</w:t>
      </w:r>
      <w:r>
        <w:t xml:space="preserve"> </w:t>
      </w:r>
      <w:r>
        <w:t xml:space="preserve">The intent is not primarily informational — Jesus is not distributing prayer techniques or cataloguing the Pharisees’ errors for historical interest. The intent is confrontational and invitational simultaneously: confrontational toward all forms of religious performance and willful blindness, and invitational toward the Father who gives good gifts to those who ask. Luke 11 functions as a kind of spiritual diagnostic: it shows what genuine openness to the kingdom looks like (persistent, trusting prayer; repentance like Nineveh; a lamp-lit interior) and what resistance to the kingdom looks like (attributing kingdom work to darkness; demanding signs; religious performance that loads burdens and locks doors). The reader is meant to feel the weight of both — and to see themselves in the mirror the chapter holds up.</w:t>
      </w:r>
    </w:p>
    <w:p>
      <w:r>
        <w:pict>
          <v:rect style="width:0;height:1.5pt" o:hralign="center" o:hrstd="t" o:hr="t"/>
        </w:pict>
      </w:r>
    </w:p>
    <w:p>
      <w:pPr>
        <w:pStyle w:val="FirstParagraph"/>
      </w:pPr>
      <w:r>
        <w:rPr>
          <w:b/>
          <w:bCs/>
        </w:rPr>
        <w:t xml:space="preserve">Subject Sentence:</w:t>
      </w:r>
      <w:r>
        <w:t xml:space="preserve"> </w:t>
      </w:r>
      <w:r>
        <w:t xml:space="preserve">Jesus exposes the crisis of orientation — toward the Father or away from the light.</w:t>
      </w:r>
    </w:p>
    <w:p>
      <w:r>
        <w:pict>
          <v:rect style="width:0;height:1.5pt" o:hralign="center" o:hrstd="t" o:hr="t"/>
        </w:pict>
      </w:r>
    </w:p>
    <w:p>
      <w:pPr>
        <w:pStyle w:val="FirstParagraph"/>
      </w:pPr>
      <w:r>
        <w:rPr>
          <w:b/>
          <w:bCs/>
        </w:rPr>
        <w:t xml:space="preserve">Primary Claim:</w:t>
      </w:r>
      <w:r>
        <w:t xml:space="preserve"> </w:t>
      </w:r>
      <w:r>
        <w:t xml:space="preserve">God is calling every person who encounters Jesus to examine whether their heart is genuinely open to the kingdom’s light — praying toward the Father with honest dependence, or resisting the same light with religious sophistication — because there is no neutral posture before the one who casts out demons by the finger of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Lord’s Prayer: Template or Script?</w:t>
      </w:r>
    </w:p>
    <w:p>
      <w:pPr>
        <w:pStyle w:val="BodyText"/>
      </w:pPr>
      <w:r>
        <w:t xml:space="preserve">A recurring divergence concerns the status of the Lord’s Prayer (vv. 2–4). Roman Catholic and many liturgical Protestant traditions treat this as a liturgical text to be recited verbatim; broadly evangelical traditions tend to treat it as a structural model for prayer. The text itself inclines toward the model reading: Luke’s version differs from Matthew 6:9–13 in wording and context, suggesting the early church did not treat a single fixed wording as mandatory. The Lukan introduction —</w:t>
      </w:r>
      <w:r>
        <w:t xml:space="preserve"> </w:t>
      </w:r>
      <w:r>
        <w:t xml:space="preserve">“when you pray, say”</w:t>
      </w:r>
      <w:r>
        <w:t xml:space="preserve"> </w:t>
      </w:r>
      <w:r>
        <w:t xml:space="preserve">— does not resolve the debate, since</w:t>
      </w:r>
      <w:r>
        <w:t xml:space="preserve"> </w:t>
      </w:r>
      <w:r>
        <w:t xml:space="preserve">“say”</w:t>
      </w:r>
      <w:r>
        <w:t xml:space="preserve"> </w:t>
      </w:r>
      <w:r>
        <w:t xml:space="preserve">can mean</w:t>
      </w:r>
      <w:r>
        <w:t xml:space="preserve"> </w:t>
      </w:r>
      <w:r>
        <w:t xml:space="preserve">“pray in this manner.”</w:t>
      </w:r>
      <w:r>
        <w:t xml:space="preserve"> </w:t>
      </w:r>
      <w:r>
        <w:t xml:space="preserve">More decisively, the immediate context (the friend at midnight, vv. 5–8; the ask/seek/knock sequence, vv. 9–13) frames prayer as a relational dynamic of persistence and trust rather than a prescribed formula. The Reformed reading acknowledges the liturgical use as legitimate while insisting the</w:t>
      </w:r>
      <w:r>
        <w:t xml:space="preserve"> </w:t>
      </w:r>
      <w:r>
        <w:rPr>
          <w:i/>
          <w:iCs/>
        </w:rPr>
        <w:t xml:space="preserve">structure and theology</w:t>
      </w:r>
      <w:r>
        <w:t xml:space="preserve"> </w:t>
      </w:r>
      <w:r>
        <w:t xml:space="preserve">of the prayer — Father-orientation, kingdom-priority, honest need, forgiveness-reciprocity, dependence on God against evil — is what Jesus is teaching. The liturgical and model-prayer traditions are not irreconcilable; the error is treating verbatim recitation as the sum of what Jesus intends.</w:t>
      </w:r>
    </w:p>
    <w:p>
      <w:pPr>
        <w:pStyle w:val="BodyText"/>
      </w:pPr>
      <w:r>
        <w:rPr>
          <w:b/>
          <w:bCs/>
        </w:rPr>
        <w:t xml:space="preserve">The Beelzebul Controversy: Christological Stakes</w:t>
      </w:r>
    </w:p>
    <w:p>
      <w:pPr>
        <w:pStyle w:val="BodyText"/>
      </w:pPr>
      <w:r>
        <w:t xml:space="preserve">The Beelzebul accusation (vv. 14–23) is sometimes read as merely a historical dispute about Jesus’s methods, or reduced to a lesson about spiritual warfare. Its deeper function is Christological: Jesus is claiming that his exorcisms are the direct activity of the</w:t>
      </w:r>
      <w:r>
        <w:t xml:space="preserve"> </w:t>
      </w:r>
      <w:r>
        <w:rPr>
          <w:i/>
          <w:iCs/>
        </w:rPr>
        <w:t xml:space="preserve">finger of God</w:t>
      </w:r>
      <w:r>
        <w:t xml:space="preserve"> </w:t>
      </w:r>
      <w:r>
        <w:t xml:space="preserve">— a deliberate echo of Exodus 8:19, where Egyptian magicians identify the plague as the finger of God. The kingdom of God is arriving in and through Jesus’s ministry with Exodus-level force. Dispensational readings sometimes treat the strong man passage (vv. 21–22) as primarily about cosmic spiritual warfare in a general sense; the Reformed reading insists the specific referent is Jesus himself as the stronger one who has come to plunder Satan’s house — the passage is a Christological announcement, not a spiritual warfare manual. A Pentecostal/charismatic reading may foreground the believer’s ongoing authority to</w:t>
      </w:r>
      <w:r>
        <w:t xml:space="preserve"> </w:t>
      </w:r>
      <w:r>
        <w:t xml:space="preserve">“cast out demons”</w:t>
      </w:r>
      <w:r>
        <w:t xml:space="preserve"> </w:t>
      </w:r>
      <w:r>
        <w:t xml:space="preserve">from this passage; this over-reads the text, which in context is about Jesus’s unique authority, not a commissioning of believers. The implication for believers (that we stand with the stronger one who has already overcome) is valid, but it is a secondary derivation, not the primary claim.</w:t>
      </w:r>
    </w:p>
    <w:p>
      <w:pPr>
        <w:pStyle w:val="BodyText"/>
      </w:pPr>
      <w:r>
        <w:rPr>
          <w:b/>
          <w:bCs/>
        </w:rPr>
        <w:t xml:space="preserve">The Unclean Spirit’s Return (vv. 24–26): Moral Reformation or Gospel Vacancy?</w:t>
      </w:r>
    </w:p>
    <w:p>
      <w:pPr>
        <w:pStyle w:val="BodyText"/>
      </w:pPr>
      <w:r>
        <w:t xml:space="preserve">This passage is among the most misread in the synoptics. It is frequently preached as a warning against moral reformation without spiritual conversion —</w:t>
      </w:r>
      <w:r>
        <w:t xml:space="preserve"> </w:t>
      </w:r>
      <w:r>
        <w:t xml:space="preserve">“clean up your life without Christ and something worse will move in.”</w:t>
      </w:r>
      <w:r>
        <w:t xml:space="preserve"> </w:t>
      </w:r>
      <w:r>
        <w:t xml:space="preserve">That application is not wrong, but it misidentifies the primary referent. In Luke’s flow, this saying immediately follows the Beelzebul controversy and belongs to the sign-of-Jonah complex: the</w:t>
      </w:r>
      <w:r>
        <w:t xml:space="preserve"> </w:t>
      </w:r>
      <w:r>
        <w:t xml:space="preserve">“generation”</w:t>
      </w:r>
      <w:r>
        <w:t xml:space="preserve"> </w:t>
      </w:r>
      <w:r>
        <w:t xml:space="preserve">(v. 29) is the generation of Israel that is being confronted with Jesus, experiences partial reform and even expulsion of spiritual forces, but does not receive him. The</w:t>
      </w:r>
      <w:r>
        <w:t xml:space="preserve"> </w:t>
      </w:r>
      <w:r>
        <w:t xml:space="preserve">“empty house”</w:t>
      </w:r>
      <w:r>
        <w:t xml:space="preserve"> </w:t>
      </w:r>
      <w:r>
        <w:t xml:space="preserve">is not primarily a generic individual soul but the covenantal situation of Israel — swept clean by prophetic reform movements (John the Baptist, even the Pharisees’ own tradition) but refusing to be filled with the one who is greater. The broader application to individual spiritual vacancy is a legitimate extension but should not displace the Christological and covenantal primary meaning.</w:t>
      </w:r>
    </w:p>
    <w:p>
      <w:pPr>
        <w:pStyle w:val="BodyText"/>
      </w:pPr>
      <w:r>
        <w:rPr>
          <w:b/>
          <w:bCs/>
        </w:rPr>
        <w:t xml:space="preserve">The Woes: Moral Critique or Eschatological Judgment?</w:t>
      </w:r>
    </w:p>
    <w:p>
      <w:pPr>
        <w:pStyle w:val="BodyText"/>
      </w:pPr>
      <w:r>
        <w:t xml:space="preserve">The six woes (vv. 42–52) are sometimes preached as a general critique of religious hypocrisy applicable to any religious institution. While the application is valid, the woes have eschatological weight that is consistently underplayed. Jesus is pronouncing judgment in a formal, prophetic sense —</w:t>
      </w:r>
      <w:r>
        <w:t xml:space="preserve"> </w:t>
      </w:r>
      <w:r>
        <w:t xml:space="preserve">“woe”</w:t>
      </w:r>
      <w:r>
        <w:t xml:space="preserve"> </w:t>
      </w:r>
      <w:r>
        <w:t xml:space="preserve">is the language of doom, not mere disapproval. The woes climax in vv. 49–51 with a statement of coming judgment on</w:t>
      </w:r>
      <w:r>
        <w:t xml:space="preserve"> </w:t>
      </w:r>
      <w:r>
        <w:t xml:space="preserve">“this generation”</w:t>
      </w:r>
      <w:r>
        <w:t xml:space="preserve"> </w:t>
      </w:r>
      <w:r>
        <w:t xml:space="preserve">for all the blood of the prophets — language that in Luke’s Gospel looks ahead to 70 AD and the destruction of Jerusalem. To preach these woes as merely a timeless critique of religious pride strips them of their urgency. The Reformed reading embraces both: there is a genuine theological critique of religion-as-performance that applies to every age,</w:t>
      </w:r>
      <w:r>
        <w:t xml:space="preserve"> </w:t>
      </w:r>
      <w:r>
        <w:rPr>
          <w:i/>
          <w:iCs/>
        </w:rPr>
        <w:t xml:space="preserve">and</w:t>
      </w:r>
      <w:r>
        <w:t xml:space="preserve"> </w:t>
      </w:r>
      <w:r>
        <w:t xml:space="preserve">there is a specific, historically-situated eschatological warning that Jesus is issuing to this particular generation at this particular moment of crisis.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8:19</w:t>
      </w:r>
      <w:r>
        <w:t xml:space="preserve"> </w:t>
      </w:r>
      <w:r>
        <w:t xml:space="preserve">— The magicians’ identification of the plague as</w:t>
      </w:r>
      <w:r>
        <w:t xml:space="preserve"> </w:t>
      </w:r>
      <w:r>
        <w:t xml:space="preserve">“the finger of God”</w:t>
      </w:r>
      <w:r>
        <w:t xml:space="preserve"> </w:t>
      </w:r>
      <w:r>
        <w:t xml:space="preserve">grounds Jesus’s claim in v. 20; his exorcisms are Exodus-caliber events, the arrival of God’s direct rule.</w:t>
      </w:r>
    </w:p>
    <w:p>
      <w:pPr>
        <w:numPr>
          <w:ilvl w:val="0"/>
          <w:numId w:val="1001"/>
        </w:numPr>
      </w:pPr>
      <w:r>
        <w:rPr>
          <w:b/>
          <w:bCs/>
        </w:rPr>
        <w:t xml:space="preserve">Psalm 27:8–9</w:t>
      </w:r>
      <w:r>
        <w:t xml:space="preserve"> </w:t>
      </w:r>
      <w:r>
        <w:t xml:space="preserve">—</w:t>
      </w:r>
      <w:r>
        <w:t xml:space="preserve"> </w:t>
      </w:r>
      <w:r>
        <w:t xml:space="preserve">“Seek my face… do not hide your face from me”</w:t>
      </w:r>
      <w:r>
        <w:t xml:space="preserve"> </w:t>
      </w:r>
      <w:r>
        <w:t xml:space="preserve">— the Psalter’s model of Father-oriented prayer underlies the Lord’s Prayer’s relational structure; the one who seeks is already in covenant relationship.</w:t>
      </w:r>
    </w:p>
    <w:p>
      <w:pPr>
        <w:numPr>
          <w:ilvl w:val="0"/>
          <w:numId w:val="1001"/>
        </w:numPr>
      </w:pPr>
      <w:r>
        <w:rPr>
          <w:b/>
          <w:bCs/>
        </w:rPr>
        <w:t xml:space="preserve">Isaiah 29:13</w:t>
      </w:r>
      <w:r>
        <w:t xml:space="preserve"> </w:t>
      </w:r>
      <w:r>
        <w:t xml:space="preserve">—</w:t>
      </w:r>
      <w:r>
        <w:t xml:space="preserve"> </w:t>
      </w:r>
      <w:r>
        <w:t xml:space="preserve">“This people honors me with their lips, but their hearts are far from me”</w:t>
      </w:r>
      <w:r>
        <w:t xml:space="preserve"> </w:t>
      </w:r>
      <w:r>
        <w:t xml:space="preserve">— the prophetic diagnosis that Jesus’s woes against the Pharisees bring to its culmination; the woes are not a new critique but the final pronouncement of a long-running prophetic case.</w:t>
      </w:r>
    </w:p>
    <w:p>
      <w:pPr>
        <w:numPr>
          <w:ilvl w:val="0"/>
          <w:numId w:val="1001"/>
        </w:numPr>
      </w:pPr>
      <w:r>
        <w:rPr>
          <w:b/>
          <w:bCs/>
        </w:rPr>
        <w:t xml:space="preserve">Jonah 3:5–10</w:t>
      </w:r>
      <w:r>
        <w:t xml:space="preserve"> </w:t>
      </w:r>
      <w:r>
        <w:t xml:space="preserve">— Nineveh’s repentance at Jonah’s preaching (v. 32) establishes what genuine response to a prophetic word looks like: not a demand for further signs but immediate, total, corporate repentance.</w:t>
      </w:r>
    </w:p>
    <w:p>
      <w:pPr>
        <w:numPr>
          <w:ilvl w:val="0"/>
          <w:numId w:val="1001"/>
        </w:numPr>
      </w:pPr>
      <w:r>
        <w:rPr>
          <w:b/>
          <w:bCs/>
        </w:rPr>
        <w:t xml:space="preserve">Matthew 7:7–11</w:t>
      </w:r>
      <w:r>
        <w:t xml:space="preserve"> </w:t>
      </w:r>
      <w:r>
        <w:t xml:space="preserve">— The parallel ask/seek/knock teaching in the Sermon on the Mount; together these anchor the Father’s good-gift-giving as a settled theological claim, not merely a rhetorical encouragement.</w:t>
      </w:r>
    </w:p>
    <w:p>
      <w:r>
        <w:pict>
          <v:rect style="width:0;height:1.5pt" o:hralign="center" o:hrstd="t" o:hr="t"/>
        </w:pict>
      </w:r>
    </w:p>
    <w:p>
      <w:pPr>
        <w:pStyle w:val="FirstParagraph"/>
      </w:pPr>
      <w:r>
        <w:rPr>
          <w:b/>
          <w:bCs/>
        </w:rPr>
        <w:t xml:space="preserve">Aim:</w:t>
      </w:r>
      <w:r>
        <w:t xml:space="preserve"> </w:t>
      </w:r>
      <w:r>
        <w:t xml:space="preserve">To lead the reader to honest self-examination about whether they are genuinely open to the light of the kingdom — praying with the dependence Jesus models, receiving the work of the Spirit without resistance, and letting the lamp of the body be actually lit — rather than performing religion while standing before the kingdom’s arrival with arms crossed.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11:1</w:t>
            </w:r>
          </w:p>
        </w:tc>
        <w:tc>
          <w:tcPr/>
          <w:p>
            <w:pPr>
              <w:pStyle w:val="Compact"/>
            </w:pPr>
            <w:r>
              <w:t xml:space="preserve">Disciples observe Jesus praying; one asks him to teach them to pray as John taught his disciples</w:t>
            </w:r>
          </w:p>
        </w:tc>
        <w:tc>
          <w:tcPr/>
          <w:p>
            <w:pPr>
              <w:pStyle w:val="Compact"/>
            </w:pPr>
            <w:r>
              <w:t xml:space="preserve">Prayer request arises from observing Jesus — the disciples want the same Father-orientation they see in him</w:t>
            </w:r>
          </w:p>
        </w:tc>
      </w:tr>
      <w:tr>
        <w:tc>
          <w:tcPr/>
          <w:p>
            <w:pPr>
              <w:pStyle w:val="Compact"/>
            </w:pPr>
            <w:r>
              <w:t xml:space="preserve">11:2–4</w:t>
            </w:r>
          </w:p>
        </w:tc>
        <w:tc>
          <w:tcPr/>
          <w:p>
            <w:pPr>
              <w:pStyle w:val="Compact"/>
            </w:pPr>
            <w:r>
              <w:t xml:space="preserve">Jesus gives the Lord’s Prayer: Father, hallowed be your name, kingdom come; daily bread, forgiveness (with reciprocal note), deliverance from evil/temptation</w:t>
            </w:r>
          </w:p>
        </w:tc>
        <w:tc>
          <w:tcPr/>
          <w:p>
            <w:pPr>
              <w:pStyle w:val="Compact"/>
            </w:pPr>
            <w:r>
              <w:t xml:space="preserve">Lukan version shorter than Matthew 6; focuses on relationship, priority, need, and dependence</w:t>
            </w:r>
          </w:p>
        </w:tc>
      </w:tr>
      <w:tr>
        <w:tc>
          <w:tcPr/>
          <w:p>
            <w:pPr>
              <w:pStyle w:val="Compact"/>
            </w:pPr>
            <w:r>
              <w:t xml:space="preserve">11:5–8</w:t>
            </w:r>
          </w:p>
        </w:tc>
        <w:tc>
          <w:tcPr/>
          <w:p>
            <w:pPr>
              <w:pStyle w:val="Compact"/>
            </w:pPr>
            <w:r>
              <w:t xml:space="preserve">Parable of the friend at midnight: persistence prevails not because of friendship but because of shamelessness/boldness (</w:t>
            </w:r>
            <w:r>
              <w:rPr>
                <w:i/>
                <w:iCs/>
              </w:rPr>
              <w:t xml:space="preserve">anaideia</w:t>
            </w:r>
            <w:r>
              <w:t xml:space="preserve">)</w:t>
            </w:r>
          </w:p>
        </w:tc>
        <w:tc>
          <w:tcPr/>
          <w:p>
            <w:pPr>
              <w:pStyle w:val="Compact"/>
            </w:pPr>
            <w:r>
              <w:t xml:space="preserve">Key interpretive word:</w:t>
            </w:r>
            <w:r>
              <w:t xml:space="preserve"> </w:t>
            </w:r>
            <w:r>
              <w:rPr>
                <w:i/>
                <w:iCs/>
              </w:rPr>
              <w:t xml:space="preserve">anaideia</w:t>
            </w:r>
            <w:r>
              <w:t xml:space="preserve"> </w:t>
            </w:r>
            <w:r>
              <w:t xml:space="preserve">— boldness, shamelessness, persistent importunity; grounds prayer in audacity before a generous Father</w:t>
            </w:r>
          </w:p>
        </w:tc>
      </w:tr>
      <w:tr>
        <w:tc>
          <w:tcPr/>
          <w:p>
            <w:pPr>
              <w:pStyle w:val="Compact"/>
            </w:pPr>
            <w:r>
              <w:t xml:space="preserve">11:9–10</w:t>
            </w:r>
          </w:p>
        </w:tc>
        <w:tc>
          <w:tcPr/>
          <w:p>
            <w:pPr>
              <w:pStyle w:val="Compact"/>
            </w:pPr>
            <w:r>
              <w:t xml:space="preserve">Ask/seek/knock: universal promise — everyone who asks receives, everyone who seeks finds, to everyone who knocks it is opened</w:t>
            </w:r>
          </w:p>
        </w:tc>
        <w:tc>
          <w:tcPr/>
          <w:p>
            <w:pPr>
              <w:pStyle w:val="Compact"/>
            </w:pPr>
            <w:r>
              <w:t xml:space="preserve">Present-tense imperatives — ongoing, persistent asking; the promise is categorical</w:t>
            </w:r>
          </w:p>
        </w:tc>
      </w:tr>
      <w:tr>
        <w:tc>
          <w:tcPr/>
          <w:p>
            <w:pPr>
              <w:pStyle w:val="Compact"/>
            </w:pPr>
            <w:r>
              <w:t xml:space="preserve">11:11–13</w:t>
            </w:r>
          </w:p>
        </w:tc>
        <w:tc>
          <w:tcPr/>
          <w:p>
            <w:pPr>
              <w:pStyle w:val="Compact"/>
            </w:pPr>
            <w:r>
              <w:t xml:space="preserve">Argument from lesser to greater: even sinful fathers give good gifts; how much more will the Father give the Holy Spirit</w:t>
            </w:r>
          </w:p>
        </w:tc>
        <w:tc>
          <w:tcPr/>
          <w:p>
            <w:pPr>
              <w:pStyle w:val="Compact"/>
            </w:pPr>
            <w:r>
              <w:t xml:space="preserve">Luke’s version: the supreme gift is the Holy Spirit, not bread or fish; prayer is pneumatological at its core</w:t>
            </w:r>
          </w:p>
        </w:tc>
      </w:tr>
      <w:tr>
        <w:tc>
          <w:tcPr/>
          <w:p>
            <w:pPr>
              <w:pStyle w:val="Compact"/>
            </w:pPr>
            <w:r>
              <w:t xml:space="preserve">11:14–16</w:t>
            </w:r>
          </w:p>
        </w:tc>
        <w:tc>
          <w:tcPr/>
          <w:p>
            <w:pPr>
              <w:pStyle w:val="Compact"/>
            </w:pPr>
            <w:r>
              <w:t xml:space="preserve">Jesus casts out a mute demon; crowd marvels; some accuse him of Beelzebul; others demand a sign</w:t>
            </w:r>
          </w:p>
        </w:tc>
        <w:tc>
          <w:tcPr/>
          <w:p>
            <w:pPr>
              <w:pStyle w:val="Compact"/>
            </w:pPr>
            <w:r>
              <w:t xml:space="preserve">Division: genuine response vs. malicious attribution vs. sign-seeking</w:t>
            </w:r>
          </w:p>
        </w:tc>
      </w:tr>
      <w:tr>
        <w:tc>
          <w:tcPr/>
          <w:p>
            <w:pPr>
              <w:pStyle w:val="Compact"/>
            </w:pPr>
            <w:r>
              <w:t xml:space="preserve">11:17–20</w:t>
            </w:r>
          </w:p>
        </w:tc>
        <w:tc>
          <w:tcPr/>
          <w:p>
            <w:pPr>
              <w:pStyle w:val="Compact"/>
            </w:pPr>
            <w:r>
              <w:t xml:space="preserve">Jesus answers: a divided kingdom cannot stand; his own disciples cast out demons — by whose power?; but if by the finger of God, then the kingdom has arrived</w:t>
            </w:r>
          </w:p>
        </w:tc>
        <w:tc>
          <w:tcPr/>
          <w:p>
            <w:pPr>
              <w:pStyle w:val="Compact"/>
            </w:pPr>
            <w:r>
              <w:t xml:space="preserve">“Finger of God”</w:t>
            </w:r>
            <w:r>
              <w:t xml:space="preserve"> </w:t>
            </w:r>
            <w:r>
              <w:t xml:space="preserve">= Exod 8:19; the arrival of the kingdom is the point, not merely the miracle</w:t>
            </w:r>
          </w:p>
        </w:tc>
      </w:tr>
      <w:tr>
        <w:tc>
          <w:tcPr/>
          <w:p>
            <w:pPr>
              <w:pStyle w:val="Compact"/>
            </w:pPr>
            <w:r>
              <w:t xml:space="preserve">11:21–22</w:t>
            </w:r>
          </w:p>
        </w:tc>
        <w:tc>
          <w:tcPr/>
          <w:p>
            <w:pPr>
              <w:pStyle w:val="Compact"/>
            </w:pPr>
            <w:r>
              <w:t xml:space="preserve">Parable of the strong man overcome by the stronger one</w:t>
            </w:r>
          </w:p>
        </w:tc>
        <w:tc>
          <w:tcPr/>
          <w:p>
            <w:pPr>
              <w:pStyle w:val="Compact"/>
            </w:pPr>
            <w:r>
              <w:t xml:space="preserve">Jesus is the stronger one; the plundering of Satan’s house is in progress now</w:t>
            </w:r>
          </w:p>
        </w:tc>
      </w:tr>
      <w:tr>
        <w:tc>
          <w:tcPr/>
          <w:p>
            <w:pPr>
              <w:pStyle w:val="Compact"/>
            </w:pPr>
            <w:r>
              <w:t xml:space="preserve">11:23</w:t>
            </w:r>
          </w:p>
        </w:tc>
        <w:tc>
          <w:tcPr/>
          <w:p>
            <w:pPr>
              <w:pStyle w:val="Compact"/>
            </w:pPr>
            <w:r>
              <w:t xml:space="preserve">“Whoever is not with me is against me; whoever does not gather with me scatters”</w:t>
            </w:r>
          </w:p>
        </w:tc>
        <w:tc>
          <w:tcPr/>
          <w:p>
            <w:pPr>
              <w:pStyle w:val="Compact"/>
            </w:pPr>
            <w:r>
              <w:t xml:space="preserve">No neutral position; the Beelzebul accusers stand against the kingdom</w:t>
            </w:r>
          </w:p>
        </w:tc>
      </w:tr>
      <w:tr>
        <w:tc>
          <w:tcPr/>
          <w:p>
            <w:pPr>
              <w:pStyle w:val="Compact"/>
            </w:pPr>
            <w:r>
              <w:t xml:space="preserve">11:24–26</w:t>
            </w:r>
          </w:p>
        </w:tc>
        <w:tc>
          <w:tcPr/>
          <w:p>
            <w:pPr>
              <w:pStyle w:val="Compact"/>
            </w:pPr>
            <w:r>
              <w:t xml:space="preserve">Parable of the unclean spirit’s return: swept house, seven worse spirits, final state worse than the first</w:t>
            </w:r>
          </w:p>
        </w:tc>
        <w:tc>
          <w:tcPr/>
          <w:p>
            <w:pPr>
              <w:pStyle w:val="Compact"/>
            </w:pPr>
            <w:r>
              <w:t xml:space="preserve">Primary referent: Israel’s covenantal vacancy in rejecting Jesus; secondary application to individual spiritual emptiness</w:t>
            </w:r>
          </w:p>
        </w:tc>
      </w:tr>
      <w:tr>
        <w:tc>
          <w:tcPr/>
          <w:p>
            <w:pPr>
              <w:pStyle w:val="Compact"/>
            </w:pPr>
            <w:r>
              <w:t xml:space="preserve">11:27–28</w:t>
            </w:r>
          </w:p>
        </w:tc>
        <w:tc>
          <w:tcPr/>
          <w:p>
            <w:pPr>
              <w:pStyle w:val="Compact"/>
            </w:pPr>
            <w:r>
              <w:t xml:space="preserve">Woman blesses Jesus’s mother; Jesus redirects: blessed are those who hear the word of God and keep it</w:t>
            </w:r>
          </w:p>
        </w:tc>
        <w:tc>
          <w:tcPr/>
          <w:p>
            <w:pPr>
              <w:pStyle w:val="Compact"/>
            </w:pPr>
            <w:r>
              <w:t xml:space="preserve">True blessedness is defined by responsive obedience, not biological proximity to Jesus</w:t>
            </w:r>
          </w:p>
        </w:tc>
      </w:tr>
      <w:tr>
        <w:tc>
          <w:tcPr/>
          <w:p>
            <w:pPr>
              <w:pStyle w:val="Compact"/>
            </w:pPr>
            <w:r>
              <w:t xml:space="preserve">11:29–32</w:t>
            </w:r>
          </w:p>
        </w:tc>
        <w:tc>
          <w:tcPr/>
          <w:p>
            <w:pPr>
              <w:pStyle w:val="Compact"/>
            </w:pPr>
            <w:r>
              <w:t xml:space="preserve">Sign of Jonah: no sign will be given except Jonah’s sign; Nineveh repented at Jonah; the queen of the South came to hear Solomon; something greater is here</w:t>
            </w:r>
          </w:p>
        </w:tc>
        <w:tc>
          <w:tcPr/>
          <w:p>
            <w:pPr>
              <w:pStyle w:val="Compact"/>
            </w:pPr>
            <w:r>
              <w:t xml:space="preserve">The indictment: lesser occasions generated greater responses; this generation resists the greatest one</w:t>
            </w:r>
          </w:p>
        </w:tc>
      </w:tr>
      <w:tr>
        <w:tc>
          <w:tcPr/>
          <w:p>
            <w:pPr>
              <w:pStyle w:val="Compact"/>
            </w:pPr>
            <w:r>
              <w:t xml:space="preserve">11:33–36</w:t>
            </w:r>
          </w:p>
        </w:tc>
        <w:tc>
          <w:tcPr/>
          <w:p>
            <w:pPr>
              <w:pStyle w:val="Compact"/>
            </w:pPr>
            <w:r>
              <w:t xml:space="preserve">Lamp sayings: no one hides a lamp; the lamp of the body is the eye; if your eye is healthy, your whole body is full of light; if your eye is bad, full of darkness; watch that the light in you is not darkness</w:t>
            </w:r>
          </w:p>
        </w:tc>
        <w:tc>
          <w:tcPr/>
          <w:p>
            <w:pPr>
              <w:pStyle w:val="Compact"/>
            </w:pPr>
            <w:r>
              <w:t xml:space="preserve">Interior orientation determines whether kingdom light can penetrate;</w:t>
            </w:r>
            <w:r>
              <w:t xml:space="preserve"> </w:t>
            </w:r>
            <w:r>
              <w:t xml:space="preserve">“bad eye”</w:t>
            </w:r>
            <w:r>
              <w:t xml:space="preserve"> </w:t>
            </w:r>
            <w:r>
              <w:t xml:space="preserve">may carry the sense of covetousness/envy</w:t>
            </w:r>
          </w:p>
        </w:tc>
      </w:tr>
      <w:tr>
        <w:tc>
          <w:tcPr/>
          <w:p>
            <w:pPr>
              <w:pStyle w:val="Compact"/>
            </w:pPr>
            <w:r>
              <w:t xml:space="preserve">11:37–41</w:t>
            </w:r>
          </w:p>
        </w:tc>
        <w:tc>
          <w:tcPr/>
          <w:p>
            <w:pPr>
              <w:pStyle w:val="Compact"/>
            </w:pPr>
            <w:r>
              <w:t xml:space="preserve">Pharisee’s dinner; Jesus does not wash before eating; Pharisee marvels; Jesus rebukes: outside cleaned, inside full of greed and wickedness; give to the poor and everything is clean</w:t>
            </w:r>
          </w:p>
        </w:tc>
        <w:tc>
          <w:tcPr/>
          <w:p>
            <w:pPr>
              <w:pStyle w:val="Compact"/>
            </w:pPr>
            <w:r>
              <w:t xml:space="preserve">The table setting intensifies the personal, face-to-face nature of the confrontation</w:t>
            </w:r>
          </w:p>
        </w:tc>
      </w:tr>
      <w:tr>
        <w:tc>
          <w:tcPr/>
          <w:p>
            <w:pPr>
              <w:pStyle w:val="Compact"/>
            </w:pPr>
            <w:r>
              <w:t xml:space="preserve">11:42</w:t>
            </w:r>
          </w:p>
        </w:tc>
        <w:tc>
          <w:tcPr/>
          <w:p>
            <w:pPr>
              <w:pStyle w:val="Compact"/>
            </w:pPr>
            <w:r>
              <w:t xml:space="preserve">Woe 1: Pharisees tithe mint and rue but neglect justice and the love of God</w:t>
            </w:r>
          </w:p>
        </w:tc>
        <w:tc>
          <w:tcPr/>
          <w:p>
            <w:pPr>
              <w:pStyle w:val="Compact"/>
            </w:pPr>
            <w:r>
              <w:t xml:space="preserve">Precision religion that bypasses the animating reality it claims to serve</w:t>
            </w:r>
          </w:p>
        </w:tc>
      </w:tr>
      <w:tr>
        <w:tc>
          <w:tcPr/>
          <w:p>
            <w:pPr>
              <w:pStyle w:val="Compact"/>
            </w:pPr>
            <w:r>
              <w:t xml:space="preserve">11:43</w:t>
            </w:r>
          </w:p>
        </w:tc>
        <w:tc>
          <w:tcPr/>
          <w:p>
            <w:pPr>
              <w:pStyle w:val="Compact"/>
            </w:pPr>
            <w:r>
              <w:t xml:space="preserve">Woe 2: Pharisees love the best seats and greetings in the marketplace</w:t>
            </w:r>
          </w:p>
        </w:tc>
        <w:tc>
          <w:tcPr/>
          <w:p>
            <w:pPr>
              <w:pStyle w:val="Compact"/>
            </w:pPr>
            <w:r>
              <w:t xml:space="preserve">Public performance of status — religion as social capital</w:t>
            </w:r>
          </w:p>
        </w:tc>
      </w:tr>
      <w:tr>
        <w:tc>
          <w:tcPr/>
          <w:p>
            <w:pPr>
              <w:pStyle w:val="Compact"/>
            </w:pPr>
            <w:r>
              <w:t xml:space="preserve">11:44</w:t>
            </w:r>
          </w:p>
        </w:tc>
        <w:tc>
          <w:tcPr/>
          <w:p>
            <w:pPr>
              <w:pStyle w:val="Compact"/>
            </w:pPr>
            <w:r>
              <w:t xml:space="preserve">Woe 3: Pharisees like unmarked graves — people walk over them and are defiled without knowing it</w:t>
            </w:r>
          </w:p>
        </w:tc>
        <w:tc>
          <w:tcPr/>
          <w:p>
            <w:pPr>
              <w:pStyle w:val="Compact"/>
            </w:pPr>
            <w:r>
              <w:t xml:space="preserve">Hidden corruption; the most dangerous contamination is the undetected kind</w:t>
            </w:r>
          </w:p>
        </w:tc>
      </w:tr>
      <w:tr>
        <w:tc>
          <w:tcPr/>
          <w:p>
            <w:pPr>
              <w:pStyle w:val="Compact"/>
            </w:pPr>
            <w:r>
              <w:t xml:space="preserve">11:45</w:t>
            </w:r>
          </w:p>
        </w:tc>
        <w:tc>
          <w:tcPr/>
          <w:p>
            <w:pPr>
              <w:pStyle w:val="Compact"/>
            </w:pPr>
            <w:r>
              <w:t xml:space="preserve">A lawyer objects that Jesus is insulting them too</w:t>
            </w:r>
          </w:p>
        </w:tc>
        <w:tc>
          <w:tcPr/>
          <w:p>
            <w:pPr>
              <w:pStyle w:val="Compact"/>
            </w:pPr>
            <w:r>
              <w:t xml:space="preserve">The complaint itself confirms the lawyers’ identification with the condemned pattern</w:t>
            </w:r>
          </w:p>
        </w:tc>
      </w:tr>
      <w:tr>
        <w:tc>
          <w:tcPr/>
          <w:p>
            <w:pPr>
              <w:pStyle w:val="Compact"/>
            </w:pPr>
            <w:r>
              <w:t xml:space="preserve">11:46</w:t>
            </w:r>
          </w:p>
        </w:tc>
        <w:tc>
          <w:tcPr/>
          <w:p>
            <w:pPr>
              <w:pStyle w:val="Compact"/>
            </w:pPr>
            <w:r>
              <w:t xml:space="preserve">Woe 4: Lawyers load unbearable burdens on others but do not touch them with one finger</w:t>
            </w:r>
          </w:p>
        </w:tc>
        <w:tc>
          <w:tcPr/>
          <w:p>
            <w:pPr>
              <w:pStyle w:val="Compact"/>
            </w:pPr>
            <w:r>
              <w:t xml:space="preserve">The legal apparatus as an instrument of oppression rather than liberation</w:t>
            </w:r>
          </w:p>
        </w:tc>
      </w:tr>
      <w:tr>
        <w:tc>
          <w:tcPr/>
          <w:p>
            <w:pPr>
              <w:pStyle w:val="Compact"/>
            </w:pPr>
            <w:r>
              <w:t xml:space="preserve">11:47–51</w:t>
            </w:r>
          </w:p>
        </w:tc>
        <w:tc>
          <w:tcPr/>
          <w:p>
            <w:pPr>
              <w:pStyle w:val="Compact"/>
            </w:pPr>
            <w:r>
              <w:t xml:space="preserve">Woe 5: Lawyers build the prophets’ tombs while their fathers killed the prophets — and they are complicit; judgment coming on this generation</w:t>
            </w:r>
          </w:p>
        </w:tc>
        <w:tc>
          <w:tcPr/>
          <w:p>
            <w:pPr>
              <w:pStyle w:val="Compact"/>
            </w:pPr>
            <w:r>
              <w:t xml:space="preserve">Eschatological woe; the generation’s rejection of Jesus repeats and completes the pattern</w:t>
            </w:r>
          </w:p>
        </w:tc>
      </w:tr>
      <w:tr>
        <w:tc>
          <w:tcPr/>
          <w:p>
            <w:pPr>
              <w:pStyle w:val="Compact"/>
            </w:pPr>
            <w:r>
              <w:t xml:space="preserve">11:52</w:t>
            </w:r>
          </w:p>
        </w:tc>
        <w:tc>
          <w:tcPr/>
          <w:p>
            <w:pPr>
              <w:pStyle w:val="Compact"/>
            </w:pPr>
            <w:r>
              <w:t xml:space="preserve">Woe 6: Lawyers have taken away the key of knowledge — neither entering themselves nor allowing others to enter</w:t>
            </w:r>
          </w:p>
        </w:tc>
        <w:tc>
          <w:tcPr/>
          <w:p>
            <w:pPr>
              <w:pStyle w:val="Compact"/>
            </w:pPr>
            <w:r>
              <w:t xml:space="preserve">The supreme indictment: gatekeepers who lock the door they were given to open</w:t>
            </w:r>
          </w:p>
        </w:tc>
      </w:tr>
      <w:tr>
        <w:tc>
          <w:tcPr/>
          <w:p>
            <w:pPr>
              <w:pStyle w:val="Compact"/>
            </w:pPr>
            <w:r>
              <w:t xml:space="preserve">11:53–54</w:t>
            </w:r>
          </w:p>
        </w:tc>
        <w:tc>
          <w:tcPr/>
          <w:p>
            <w:pPr>
              <w:pStyle w:val="Compact"/>
            </w:pPr>
            <w:r>
              <w:t xml:space="preserve">Scribes and Pharisees begin to press him, lying in wait to catch something from his mouth</w:t>
            </w:r>
          </w:p>
        </w:tc>
        <w:tc>
          <w:tcPr/>
          <w:p>
            <w:pPr>
              <w:pStyle w:val="Compact"/>
            </w:pPr>
            <w:r>
              <w:t xml:space="preserve">The confrontation has escalated to open hostility; the plot is forming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11:1–13</w:t>
            </w:r>
          </w:p>
        </w:tc>
        <w:tc>
          <w:tcPr/>
          <w:p>
            <w:pPr>
              <w:pStyle w:val="Compact"/>
            </w:pPr>
            <w:r>
              <w:t xml:space="preserve">The Shape of Kingdom Prayer: Toward a Father Who Gives</w:t>
            </w:r>
          </w:p>
        </w:tc>
      </w:tr>
      <w:tr>
        <w:tc>
          <w:tcPr/>
          <w:p>
            <w:pPr>
              <w:pStyle w:val="Compact"/>
            </w:pPr>
            <w:r>
              <w:t xml:space="preserve">2</w:t>
            </w:r>
          </w:p>
        </w:tc>
        <w:tc>
          <w:tcPr/>
          <w:p>
            <w:pPr>
              <w:pStyle w:val="Compact"/>
            </w:pPr>
            <w:r>
              <w:t xml:space="preserve">11:14–28</w:t>
            </w:r>
          </w:p>
        </w:tc>
        <w:tc>
          <w:tcPr/>
          <w:p>
            <w:pPr>
              <w:pStyle w:val="Compact"/>
            </w:pPr>
            <w:r>
              <w:t xml:space="preserve">The Crisis of Attribution: What Will You Do with Kingdom Power?</w:t>
            </w:r>
          </w:p>
        </w:tc>
      </w:tr>
      <w:tr>
        <w:tc>
          <w:tcPr/>
          <w:p>
            <w:pPr>
              <w:pStyle w:val="Compact"/>
            </w:pPr>
            <w:r>
              <w:t xml:space="preserve">3</w:t>
            </w:r>
          </w:p>
        </w:tc>
        <w:tc>
          <w:tcPr/>
          <w:p>
            <w:pPr>
              <w:pStyle w:val="Compact"/>
            </w:pPr>
            <w:r>
              <w:t xml:space="preserve">11:29–36</w:t>
            </w:r>
          </w:p>
        </w:tc>
        <w:tc>
          <w:tcPr/>
          <w:p>
            <w:pPr>
              <w:pStyle w:val="Compact"/>
            </w:pPr>
            <w:r>
              <w:t xml:space="preserve">The Diagnostic of Openness: Signs, Jonah, and the Lamp of the Body</w:t>
            </w:r>
          </w:p>
        </w:tc>
      </w:tr>
      <w:tr>
        <w:tc>
          <w:tcPr/>
          <w:p>
            <w:pPr>
              <w:pStyle w:val="Compact"/>
            </w:pPr>
            <w:r>
              <w:t xml:space="preserve">4</w:t>
            </w:r>
          </w:p>
        </w:tc>
        <w:tc>
          <w:tcPr/>
          <w:p>
            <w:pPr>
              <w:pStyle w:val="Compact"/>
            </w:pPr>
            <w:r>
              <w:t xml:space="preserve">11:37–54</w:t>
            </w:r>
          </w:p>
        </w:tc>
        <w:tc>
          <w:tcPr/>
          <w:p>
            <w:pPr>
              <w:pStyle w:val="Compact"/>
            </w:pPr>
            <w:r>
              <w:t xml:space="preserve">The Anatomy of Resistance: Six Woes and the Locked Door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exposes the crisis of orientation — toward the Father or away from the light.</w:t>
      </w:r>
    </w:p>
    <w:p>
      <w:pPr>
        <w:pStyle w:val="BodyText"/>
      </w:pPr>
      <w:r>
        <w:rPr>
          <w:b/>
          <w:bCs/>
        </w:rPr>
        <w:t xml:space="preserve">Primary Claim:</w:t>
      </w:r>
      <w:r>
        <w:t xml:space="preserve"> </w:t>
      </w:r>
      <w:r>
        <w:t xml:space="preserve">God is calling every person who encounters Jesus to examine whether their heart is genuinely open to the kingdom’s light — praying toward the Father with honest dependence, or resisting the same light with religious sophistication — because there is no neutral posture before the one who casts out demons by the finger of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Pray as someone who believes the Father is genuinely generous — not as someone managing their expectations downward.</w:t>
      </w:r>
      <w:r>
        <w:t xml:space="preserve"> </w:t>
      </w:r>
      <w:r>
        <w:rPr>
          <w:i/>
          <w:iCs/>
        </w:rPr>
        <w:t xml:space="preserve">(Mind/Belief)</w:t>
      </w:r>
      <w:r>
        <w:t xml:space="preserve"> </w:t>
      </w:r>
      <w:r>
        <w:t xml:space="preserve">The ask/seek/knock sequence in vv. 9–13 is not a hedged encouragement — it is a categorical promise grounded in the Father’s character. The application is not</w:t>
      </w:r>
      <w:r>
        <w:t xml:space="preserve"> </w:t>
      </w:r>
      <w:r>
        <w:t xml:space="preserve">“try prayer and see what happens”</w:t>
      </w:r>
      <w:r>
        <w:t xml:space="preserve"> </w:t>
      </w:r>
      <w:r>
        <w:t xml:space="preserve">but</w:t>
      </w:r>
      <w:r>
        <w:t xml:space="preserve"> </w:t>
      </w:r>
      <w:r>
        <w:t xml:space="preserve">“your Father gives good gifts, and the supreme gift is the Holy Spirit himself, so pray with the audacity of someone who knows that.”</w:t>
      </w:r>
      <w:r>
        <w:t xml:space="preserve"> </w:t>
      </w:r>
      <w:r>
        <w:t xml:space="preserve">Many believers pray small, managed, low-expectation prayers precisely because they have not settled the question of what kind of Father they have. This passage settles it. The failure in prayer is usually not technique but theology — a wrong picture of God. Revise the picture, and the prayer follows.</w:t>
      </w:r>
    </w:p>
    <w:p>
      <w:pPr>
        <w:pStyle w:val="BodyText"/>
      </w:pPr>
      <w:r>
        <w:rPr>
          <w:b/>
          <w:bCs/>
        </w:rPr>
        <w:t xml:space="preserve">2. Examine whether there is anything you are calling darkness that is actually the work of God’s Spirit.</w:t>
      </w:r>
      <w:r>
        <w:t xml:space="preserve"> </w:t>
      </w:r>
      <w:r>
        <w:rPr>
          <w:i/>
          <w:iCs/>
        </w:rPr>
        <w:t xml:space="preserve">(Mind/Belief)</w:t>
      </w:r>
      <w:r>
        <w:t xml:space="preserve"> </w:t>
      </w:r>
      <w:r>
        <w:t xml:space="preserve">The Beelzebul accusation (vv. 14–15) is not merely a first-century curiosity — it names a pattern that recurs in every generation: the work of God arrives in a form that does not match our expectations, and we find sophisticated reasons to explain it away or attribute it to something else. This may look like dismissing genuine conviction as mere emotion, or crediting a transformation in someone’s life to psychological factors rather than grace, or refusing to recognize kingdom work because it does not come through the channels we control. The application is a genuine audit: where have I built a case against something that the finger of God may actually be doing?</w:t>
      </w:r>
    </w:p>
    <w:p>
      <w:pPr>
        <w:pStyle w:val="BodyText"/>
      </w:pPr>
      <w:r>
        <w:rPr>
          <w:b/>
          <w:bCs/>
        </w:rPr>
        <w:t xml:space="preserve">3. Let your interior life — not your religious performance — be what you offer God.</w:t>
      </w:r>
      <w:r>
        <w:t xml:space="preserve"> </w:t>
      </w:r>
      <w:r>
        <w:rPr>
          <w:i/>
          <w:iCs/>
        </w:rPr>
        <w:t xml:space="preserve">(Affections/Worship)</w:t>
      </w:r>
      <w:r>
        <w:t xml:space="preserve"> </w:t>
      </w:r>
      <w:r>
        <w:t xml:space="preserve">The lamp saying (vv. 34–36) and the woe against exterior cleanliness (vv. 39–41) converge on the same diagnosis: the most dangerous spiritual condition is the one where the outside is immaculate and the inside is dark. The application is not self-condemnation but honest interior worship — the kind that says</w:t>
      </w:r>
      <w:r>
        <w:t xml:space="preserve"> </w:t>
      </w:r>
      <w:r>
        <w:t xml:space="preserve">“search me and know me”</w:t>
      </w:r>
      <w:r>
        <w:t xml:space="preserve"> </w:t>
      </w:r>
      <w:r>
        <w:t xml:space="preserve">rather than arranging the surfaces for public viewing. This is the difference between religion as self-presentation and worship as self-surrender. The Pharisees were not irreligious; they were precisely religious — and that precision had become its own form of darkness. The lamp of your body must actually be lit, not just displayed.</w:t>
      </w:r>
    </w:p>
    <w:p>
      <w:pPr>
        <w:pStyle w:val="BodyText"/>
      </w:pPr>
      <w:r>
        <w:rPr>
          <w:b/>
          <w:bCs/>
        </w:rPr>
        <w:t xml:space="preserve">4. Stop demanding signs and start reckoning with the one who is greater than Jonah and greater than Solomon.</w:t>
      </w:r>
      <w:r>
        <w:t xml:space="preserve"> </w:t>
      </w:r>
      <w:r>
        <w:rPr>
          <w:i/>
          <w:iCs/>
        </w:rPr>
        <w:t xml:space="preserve">(Affections/Worship)</w:t>
      </w:r>
      <w:r>
        <w:t xml:space="preserve"> </w:t>
      </w:r>
      <w:r>
        <w:t xml:space="preserve">The sign of Jonah (vv. 29–32) is an indictment against a particular emotional posture: the unwillingness to respond to what is actually before us because we are waiting for a more convincing presentation. Nineveh repented at a reluctant, barely-obedient prophet. The queen of the South made an expensive journey to hear wisdom from Solomon. This generation stands before the one who is greater — and keeps folding its arms and asking for better credentials. The application is an examination of our own delay mechanisms: what sign are we waiting for before we respond in full obedience? What are we withholding from Jesus while we wait for a more compelling reason?</w:t>
      </w:r>
    </w:p>
    <w:p>
      <w:pPr>
        <w:pStyle w:val="BodyText"/>
      </w:pPr>
      <w:r>
        <w:rPr>
          <w:b/>
          <w:bCs/>
        </w:rPr>
        <w:t xml:space="preserve">5. Identify where you may be using religious knowledge as a way to keep others — or yourself — out, rather than in.</w:t>
      </w:r>
      <w:r>
        <w:t xml:space="preserve"> </w:t>
      </w:r>
      <w:r>
        <w:rPr>
          <w:i/>
          <w:iCs/>
        </w:rPr>
        <w:t xml:space="preserve">(Will/Behavior)</w:t>
      </w:r>
      <w:r>
        <w:t xml:space="preserve"> </w:t>
      </w:r>
      <w:r>
        <w:t xml:space="preserve">Woe six (v. 52) is the most structurally devastating of all: the lawyers held the key of knowledge and used it to lock the door rather than open it. This has an obvious institutional application — religious gatekeeping that functions as exclusion rather than welcome. But its personal application is equally sharp: knowledge of Scripture can be weaponized against genuine transformation, used to complicate rather than clarify, deployed to keep others at arm’s length rather than drawn toward the kingdom. The application is concrete: this week, use whatever knowledge or access you have to open a door for someone rather than assert a position at 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11 establishes that the arrival of the kingdom is not a neutral event — it demands an orientation. The chapter teaches that God is a Father whose character guarantees the goodness of His gifts (vv. 11–13), that the kingdom arrives with the power of the finger of God (v. 20), and that Jesus is the stronger one who has come to plunder the house of the strong man (v. 22). These are not incidental claims; they constitute a portrait of God as the initiating, acting, arriving sovereign who does not wait to be invited but who confronts every person with his presence. The woe-series demonstrates that religious sophistication is no protection against spiritual blindness — in fact, it may intensify it by providing a more elaborate set of mechanisms for resisting the light. The lamp saying teaches that the interior of a person — the orientation of the</w:t>
      </w:r>
      <w:r>
        <w:t xml:space="preserve"> </w:t>
      </w:r>
      <w:r>
        <w:t xml:space="preserve">“eye”</w:t>
      </w:r>
      <w:r>
        <w:t xml:space="preserve"> </w:t>
      </w:r>
      <w:r>
        <w:t xml:space="preserve">— determines whether the kingdom’s light can enter and illuminate, or whether it is blocked by a darkness that does not even know itself as darkness.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11 demonstrates the total inability of human religious effort to produce genuine openness to God, while simultaneously establishing the sovereign generosity of the Father who gives the Holy Spirit to those who ask (v. 13). The chapter is a compressed study in the noetic effects of sin: the Pharisees and lawyers are not ignorant — they are the most theologically informed people in Israel — and yet their very knowledge has become an instrument of resistance rather than reception. This is precisely what Reformed theology means by the</w:t>
      </w:r>
      <w:r>
        <w:t xml:space="preserve"> </w:t>
      </w:r>
      <w:r>
        <w:rPr>
          <w:i/>
          <w:iCs/>
        </w:rPr>
        <w:t xml:space="preserve">cor incurvatum in se</w:t>
      </w:r>
      <w:r>
        <w:t xml:space="preserve"> </w:t>
      </w:r>
      <w:r>
        <w:t xml:space="preserve">(the heart curved in on itself): the capacity of the fallen human person to take even genuine revelation and bend it toward self-preservation and self-justification. The remedy the chapter offers is not more information but a reorientation — an opening of the interior to the light that is already present in Jesus — which is itself a work of the Spirit (v. 13,</w:t>
      </w:r>
      <w:r>
        <w:t xml:space="preserve"> </w:t>
      </w:r>
      <w:r>
        <w:t xml:space="preserve">“how much more will your Father give the Holy Spirit to those who ask”</w:t>
      </w:r>
      <w:r>
        <w:t xml:space="preserve">). The Father’s gift of the Spirit is the ground on which genuine prayer, genuine repentance, and genuine openness become possible: the very asking that produces the Spirit is itself enabled by the Spirit who is being given.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one who casts out demons by the finger of God is standing before this generation — and before every generation — and there is no safe, neutral position in his presence. You are either asking and receiving, seeking and finding, knocking and entering — or you are cleaning the outside of the cup while the inside remains dark. Stop managing the religious performance. Open the interior to the light. Your Father gives good gifts, and the Spirit he gives is enough for everything the darkness has built.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Lord’s Prayer in isolation from its literary context.</w:t>
      </w:r>
      <w:r>
        <w:t xml:space="preserve"> </w:t>
      </w:r>
      <w:r>
        <w:t xml:space="preserve">The prayer of vv. 2–4 is meant to be read through the lenses provided by vv. 5–13 — the friend at midnight and the Father who gives good gifts. Preaching the prayer alone, without the clarifying analogies that follow, produces a thinner theology of prayer than Luke intends. The audacity of</w:t>
      </w:r>
      <w:r>
        <w:t xml:space="preserve"> </w:t>
      </w:r>
      <w:r>
        <w:rPr>
          <w:i/>
          <w:iCs/>
        </w:rPr>
        <w:t xml:space="preserve">anaideia</w:t>
      </w:r>
      <w:r>
        <w:t xml:space="preserve"> </w:t>
      </w:r>
      <w:r>
        <w:t xml:space="preserve">(v. 8) and the categorical generosity of the Father (vv. 11–13) are not additions to the prayer — they are its interpretive frame.</w:t>
      </w:r>
    </w:p>
    <w:p>
      <w:pPr>
        <w:numPr>
          <w:ilvl w:val="0"/>
          <w:numId w:val="1002"/>
        </w:numPr>
      </w:pPr>
      <w:r>
        <w:rPr>
          <w:b/>
          <w:bCs/>
        </w:rPr>
        <w:t xml:space="preserve">Reducing the Beelzebul controversy to a lesson about spiritual warfare.</w:t>
      </w:r>
      <w:r>
        <w:t xml:space="preserve"> </w:t>
      </w:r>
      <w:r>
        <w:t xml:space="preserve">The primary claim in vv. 14–23 is not</w:t>
      </w:r>
      <w:r>
        <w:t xml:space="preserve"> </w:t>
      </w:r>
      <w:r>
        <w:t xml:space="preserve">“here is how spiritual warfare works”</w:t>
      </w:r>
      <w:r>
        <w:t xml:space="preserve"> </w:t>
      </w:r>
      <w:r>
        <w:t xml:space="preserve">but</w:t>
      </w:r>
      <w:r>
        <w:t xml:space="preserve"> </w:t>
      </w:r>
      <w:r>
        <w:t xml:space="preserve">“here is what it means that the kingdom of God has arrived in the person of Jesus.”</w:t>
      </w:r>
      <w:r>
        <w:t xml:space="preserve"> </w:t>
      </w:r>
      <w:r>
        <w:t xml:space="preserve">Foregrounding spiritual warfare as the takeaway obscures the Christological announcement at the passage’s center. The application for believers about standing with the stronger one is legitimate but secondary.</w:t>
      </w:r>
    </w:p>
    <w:p>
      <w:pPr>
        <w:numPr>
          <w:ilvl w:val="0"/>
          <w:numId w:val="1002"/>
        </w:numPr>
      </w:pPr>
      <w:r>
        <w:rPr>
          <w:b/>
          <w:bCs/>
        </w:rPr>
        <w:t xml:space="preserve">Moralizing the woe-series.</w:t>
      </w:r>
      <w:r>
        <w:t xml:space="preserve"> </w:t>
      </w:r>
      <w:r>
        <w:t xml:space="preserve">The six woes are regularly preached as a critique of generic religious hypocrisy, which dilutes their eschatological force and their specific historical location. Jesus is not issuing timeless advice about avoiding Pharisaism — he is pronouncing covenantal judgment on a generation that is rejecting the one in whom all the prophets culminate. The preacher should feel — and convey — the weight of that specific, unrepeatable, catastrophic moment, before drawing the legitimate broader application.</w:t>
      </w:r>
    </w:p>
    <w:p>
      <w:pPr>
        <w:numPr>
          <w:ilvl w:val="0"/>
          <w:numId w:val="1002"/>
        </w:numPr>
      </w:pPr>
      <w:r>
        <w:rPr>
          <w:b/>
          <w:bCs/>
        </w:rPr>
        <w:t xml:space="preserve">Misapplying the empty house parable to generic moral reformation.</w:t>
      </w:r>
      <w:r>
        <w:t xml:space="preserve"> </w:t>
      </w:r>
      <w:r>
        <w:t xml:space="preserve">As noted in the Interpretive Evaluation, vv. 24–26 are frequently preached as</w:t>
      </w:r>
      <w:r>
        <w:t xml:space="preserve"> </w:t>
      </w:r>
      <w:r>
        <w:t xml:space="preserve">“don’t clean up your life without Christ or something worse will happen.”</w:t>
      </w:r>
      <w:r>
        <w:t xml:space="preserve"> </w:t>
      </w:r>
      <w:r>
        <w:t xml:space="preserve">This application is not wrong but it is not the primary referent. The passage is about Israel’s covenantal vacancy, and preaching it only as individual moral psychology misses both its theological depth and its Christological force.</w:t>
      </w:r>
    </w:p>
    <w:p>
      <w:pPr>
        <w:numPr>
          <w:ilvl w:val="0"/>
          <w:numId w:val="1002"/>
        </w:numPr>
      </w:pPr>
      <w:r>
        <w:rPr>
          <w:b/>
          <w:bCs/>
        </w:rPr>
        <w:t xml:space="preserve">Decontextualizing v. 28 as a general principle of Bible-reading.</w:t>
      </w:r>
      <w:r>
        <w:t xml:space="preserve"> </w:t>
      </w:r>
      <w:r>
        <w:t xml:space="preserve">“Blessed are those who hear the word of God and keep it”</w:t>
      </w:r>
      <w:r>
        <w:t xml:space="preserve"> </w:t>
      </w:r>
      <w:r>
        <w:t xml:space="preserve">is regularly extracted as a memory verse about obedience to Scripture generally. In context, it is Jesus’s response to a blessing on his biological family — he is redefining true blessedness as responsive relationship to</w:t>
      </w:r>
      <w:r>
        <w:t xml:space="preserve"> </w:t>
      </w:r>
      <w:r>
        <w:rPr>
          <w:i/>
          <w:iCs/>
        </w:rPr>
        <w:t xml:space="preserve">him</w:t>
      </w:r>
      <w:r>
        <w:t xml:space="preserve">, the living Word standing before them. The verse is Christological in its primary force.</w:t>
      </w:r>
    </w:p>
    <w:p>
      <w:pPr>
        <w:numPr>
          <w:ilvl w:val="0"/>
          <w:numId w:val="1002"/>
        </w:numPr>
      </w:pPr>
      <w:r>
        <w:rPr>
          <w:b/>
          <w:bCs/>
        </w:rPr>
        <w:t xml:space="preserve">Underplaying the lamp saying’s diagnostic sharpness.</w:t>
      </w:r>
      <w:r>
        <w:t xml:space="preserve"> </w:t>
      </w:r>
      <w:r>
        <w:t xml:space="preserve">Verses 34–36 are among the most psychologically penetrating sayings in Luke’s Gospel: they describe a condition in which a person believes they have light while actually inhabiting darkness. The preaching pitfall is softening this to</w:t>
      </w:r>
      <w:r>
        <w:t xml:space="preserve"> </w:t>
      </w:r>
      <w:r>
        <w:t xml:space="preserve">“make sure you’re reading your Bible”</w:t>
      </w:r>
      <w:r>
        <w:t xml:space="preserve"> </w:t>
      </w:r>
      <w:r>
        <w:t xml:space="preserve">rather than sitting with the disturbing possibility that religious confidence can coexist with interior darkness — and that only a genuine examination of one’s actual orientation, not one’s formal religious practices, can reveal the difference.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2026-07-14T21:07:24Z</dcterms:created>
  <dcterms:modified xsi:type="dcterms:W3CDTF">2026-07-14T21:07:24Z</dcterms:modified>
</cp:coreProperties>
</file>

<file path=docProps/custom.xml><?xml version="1.0" encoding="utf-8"?>
<Properties xmlns="http://schemas.openxmlformats.org/officeDocument/2006/custom-properties" xmlns:vt="http://schemas.openxmlformats.org/officeDocument/2006/docPropsVTypes"/>
</file>